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4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诺 函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本人承诺承租资产的用途必须根据资产现状按照国家规定合法经营，不得经营黄、赌、毒及违法行业，不得经营对周边正常生产生活秩序有重大影响或环境污染的项目。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承诺人：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年  月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3MjM5MWIyNjk2OThkZjc0ZGU4NjZjZTc3MDM1YjgifQ=="/>
  </w:docVars>
  <w:rsids>
    <w:rsidRoot w:val="00000000"/>
    <w:rsid w:val="7D07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2024-03-25T07:55:01Z</dcterms:created>
  <dc:creator>dell</dc:creator>
  <cp:lastModifiedBy>冯亮</cp:lastModifiedBy>
  <dcterms:modified xsi:type="dcterms:W3CDTF">2024-03-25T07:55:45Z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F8560119C1CF46E9903BB53BA0C69FA0_12</vt:lpwstr>
  </property>
</Properties>
</file>